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81" w:rsidRPr="0001150F" w:rsidRDefault="00CB0350" w:rsidP="007F2149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01150F">
        <w:rPr>
          <w:rFonts w:ascii="Arial" w:hAnsi="Arial" w:cs="Arial"/>
          <w:bCs/>
          <w:spacing w:val="-3"/>
          <w:sz w:val="22"/>
          <w:szCs w:val="22"/>
        </w:rPr>
        <w:t>Food Production (Safety) Act 2000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provides for food safety schemes to </w:t>
      </w:r>
      <w:r w:rsidRPr="00CB0350">
        <w:rPr>
          <w:rFonts w:ascii="Arial" w:hAnsi="Arial" w:cs="Arial"/>
          <w:bCs/>
          <w:spacing w:val="-3"/>
          <w:sz w:val="22"/>
          <w:szCs w:val="22"/>
        </w:rPr>
        <w:t>regulate the production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B0350">
        <w:rPr>
          <w:rFonts w:ascii="Arial" w:hAnsi="Arial" w:cs="Arial"/>
          <w:bCs/>
          <w:spacing w:val="-3"/>
          <w:sz w:val="22"/>
          <w:szCs w:val="22"/>
        </w:rPr>
        <w:t>of primary produce</w:t>
      </w:r>
      <w:r w:rsidR="007C1496">
        <w:rPr>
          <w:rFonts w:ascii="Arial" w:hAnsi="Arial" w:cs="Arial"/>
          <w:bCs/>
          <w:spacing w:val="-3"/>
          <w:sz w:val="22"/>
          <w:szCs w:val="22"/>
        </w:rPr>
        <w:t>,</w:t>
      </w:r>
      <w:r w:rsidRPr="00CB0350">
        <w:rPr>
          <w:rFonts w:ascii="Arial" w:hAnsi="Arial" w:cs="Arial"/>
          <w:bCs/>
          <w:spacing w:val="-3"/>
          <w:sz w:val="22"/>
          <w:szCs w:val="22"/>
        </w:rPr>
        <w:t xml:space="preserve"> to ensure primary produce is safe for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B0350">
        <w:rPr>
          <w:rFonts w:ascii="Arial" w:hAnsi="Arial" w:cs="Arial"/>
          <w:bCs/>
          <w:spacing w:val="-3"/>
          <w:sz w:val="22"/>
          <w:szCs w:val="22"/>
        </w:rPr>
        <w:t>human and animal consumption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89001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Food safety schemes are </w:t>
      </w:r>
      <w:r w:rsidR="007F583C">
        <w:rPr>
          <w:rFonts w:ascii="Arial" w:hAnsi="Arial" w:cs="Arial"/>
          <w:bCs/>
          <w:spacing w:val="-3"/>
          <w:sz w:val="22"/>
          <w:szCs w:val="22"/>
        </w:rPr>
        <w:t xml:space="preserve">already </w:t>
      </w:r>
      <w:r>
        <w:rPr>
          <w:rFonts w:ascii="Arial" w:hAnsi="Arial" w:cs="Arial"/>
          <w:bCs/>
          <w:spacing w:val="-3"/>
          <w:sz w:val="22"/>
          <w:szCs w:val="22"/>
        </w:rPr>
        <w:t>in place for meat, dairy and egg production and processing activities</w:t>
      </w:r>
      <w:r w:rsidR="007F583C">
        <w:rPr>
          <w:rFonts w:ascii="Arial" w:hAnsi="Arial" w:cs="Arial"/>
          <w:bCs/>
          <w:spacing w:val="-3"/>
          <w:sz w:val="22"/>
          <w:szCs w:val="22"/>
        </w:rPr>
        <w:t>.</w:t>
      </w:r>
      <w:r w:rsidR="0089001D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3C1481" w:rsidRPr="0001150F" w:rsidRDefault="003C1481" w:rsidP="003C1481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lang w:val="en-GB"/>
        </w:rPr>
      </w:pPr>
      <w:r w:rsidRPr="0001150F">
        <w:rPr>
          <w:rFonts w:ascii="Arial" w:hAnsi="Arial" w:cs="Arial"/>
          <w:sz w:val="22"/>
          <w:szCs w:val="22"/>
        </w:rPr>
        <w:t>The seafood scheme will implement the National Standard for Primary Production and Processing of Seafood developed by Food Standards Australia New Zealand</w:t>
      </w:r>
      <w:r w:rsidR="007C1496">
        <w:rPr>
          <w:rFonts w:ascii="Arial" w:hAnsi="Arial" w:cs="Arial"/>
          <w:sz w:val="22"/>
          <w:szCs w:val="22"/>
        </w:rPr>
        <w:t xml:space="preserve">, </w:t>
      </w:r>
      <w:r w:rsidRPr="0001150F">
        <w:rPr>
          <w:rFonts w:ascii="Arial" w:hAnsi="Arial" w:cs="Arial"/>
          <w:sz w:val="22"/>
          <w:szCs w:val="22"/>
        </w:rPr>
        <w:t>and set out food safety and suitability requirements for seafood businesses up to, but not including, ret</w:t>
      </w:r>
      <w:r w:rsidR="00CB0350">
        <w:rPr>
          <w:rFonts w:ascii="Arial" w:hAnsi="Arial" w:cs="Arial"/>
          <w:sz w:val="22"/>
          <w:szCs w:val="22"/>
        </w:rPr>
        <w:t xml:space="preserve">ail activities. </w:t>
      </w:r>
      <w:r w:rsidR="007C1496">
        <w:rPr>
          <w:rFonts w:ascii="Arial" w:hAnsi="Arial" w:cs="Arial"/>
          <w:sz w:val="22"/>
          <w:szCs w:val="22"/>
        </w:rPr>
        <w:t>T</w:t>
      </w:r>
      <w:r w:rsidRPr="0001150F">
        <w:rPr>
          <w:rFonts w:ascii="Arial" w:hAnsi="Arial" w:cs="Arial"/>
          <w:sz w:val="22"/>
          <w:szCs w:val="22"/>
        </w:rPr>
        <w:t xml:space="preserve">he national seafood standard can only come into effect in </w:t>
      </w:r>
      <w:smartTag w:uri="urn:schemas-microsoft-com:office:smarttags" w:element="State">
        <w:r w:rsidRPr="0001150F">
          <w:rPr>
            <w:rFonts w:ascii="Arial" w:hAnsi="Arial" w:cs="Arial"/>
            <w:sz w:val="22"/>
            <w:szCs w:val="22"/>
          </w:rPr>
          <w:t>Queensland</w:t>
        </w:r>
      </w:smartTag>
      <w:r w:rsidRPr="0001150F">
        <w:rPr>
          <w:rFonts w:ascii="Arial" w:hAnsi="Arial" w:cs="Arial"/>
          <w:sz w:val="22"/>
          <w:szCs w:val="22"/>
        </w:rPr>
        <w:t xml:space="preserve"> when it is incorporated </w:t>
      </w:r>
      <w:r w:rsidR="007C1496">
        <w:rPr>
          <w:rFonts w:ascii="Arial" w:hAnsi="Arial" w:cs="Arial"/>
          <w:sz w:val="22"/>
          <w:szCs w:val="22"/>
        </w:rPr>
        <w:t>into</w:t>
      </w:r>
      <w:r w:rsidRPr="0001150F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1150F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01150F">
        <w:rPr>
          <w:rFonts w:ascii="Arial" w:hAnsi="Arial" w:cs="Arial"/>
          <w:sz w:val="22"/>
          <w:szCs w:val="22"/>
        </w:rPr>
        <w:t xml:space="preserve"> </w:t>
      </w:r>
      <w:r w:rsidR="007C1496">
        <w:rPr>
          <w:rFonts w:ascii="Arial" w:hAnsi="Arial" w:cs="Arial"/>
          <w:sz w:val="22"/>
          <w:szCs w:val="22"/>
        </w:rPr>
        <w:t>legislation</w:t>
      </w:r>
      <w:r w:rsidRPr="0001150F">
        <w:rPr>
          <w:rFonts w:ascii="Arial" w:hAnsi="Arial" w:cs="Arial"/>
          <w:sz w:val="22"/>
          <w:szCs w:val="22"/>
        </w:rPr>
        <w:t>.</w:t>
      </w:r>
      <w:r w:rsidRPr="0001150F">
        <w:rPr>
          <w:rFonts w:ascii="Arial" w:hAnsi="Arial" w:cs="Arial"/>
          <w:vanish/>
          <w:sz w:val="22"/>
          <w:szCs w:val="22"/>
        </w:rPr>
        <w:t xml:space="preserve">  </w:t>
      </w:r>
    </w:p>
    <w:p w:rsidR="003B5E9E" w:rsidRPr="0001150F" w:rsidRDefault="00FC7B40" w:rsidP="007F2149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In June 2007 Safe Food Production Queensland (SFPQ) released a Regulatory Impact Statement (RIS) which </w:t>
      </w:r>
      <w:r w:rsidR="00CB19D8" w:rsidRPr="0001150F">
        <w:rPr>
          <w:rFonts w:ascii="Arial" w:hAnsi="Arial" w:cs="Arial"/>
          <w:bCs/>
          <w:spacing w:val="-3"/>
          <w:sz w:val="22"/>
          <w:szCs w:val="22"/>
        </w:rPr>
        <w:t>canvassed the options for adoption of the national seafood standard into</w:t>
      </w:r>
      <w:r w:rsidR="007C149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State">
          <w:r w:rsidR="00CB19D8" w:rsidRPr="0001150F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CB19D8" w:rsidRPr="0001150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1496">
        <w:rPr>
          <w:rFonts w:ascii="Arial" w:hAnsi="Arial" w:cs="Arial"/>
          <w:bCs/>
          <w:spacing w:val="-3"/>
          <w:sz w:val="22"/>
          <w:szCs w:val="22"/>
        </w:rPr>
        <w:t>legislation</w:t>
      </w:r>
      <w:r w:rsidRPr="0001150F">
        <w:rPr>
          <w:rFonts w:ascii="Arial" w:hAnsi="Arial" w:cs="Arial"/>
          <w:bCs/>
          <w:spacing w:val="-3"/>
          <w:sz w:val="22"/>
          <w:szCs w:val="22"/>
        </w:rPr>
        <w:t>.</w:t>
      </w:r>
      <w:r w:rsidR="00CB035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B19D8" w:rsidRPr="0001150F">
        <w:rPr>
          <w:rFonts w:ascii="Arial" w:hAnsi="Arial" w:cs="Arial"/>
          <w:bCs/>
          <w:spacing w:val="-3"/>
          <w:sz w:val="22"/>
          <w:szCs w:val="22"/>
        </w:rPr>
        <w:t>As a result of consultation during the RIS process and subsequent meetings with a range of industry associations, a seafood scheme has been developed to</w:t>
      </w:r>
      <w:r w:rsidR="007C1496">
        <w:rPr>
          <w:rFonts w:ascii="Arial" w:hAnsi="Arial" w:cs="Arial"/>
          <w:bCs/>
          <w:spacing w:val="-3"/>
          <w:sz w:val="22"/>
          <w:szCs w:val="22"/>
        </w:rPr>
        <w:t xml:space="preserve"> implement</w:t>
      </w:r>
      <w:r w:rsidR="00CB19D8" w:rsidRPr="0001150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B0350">
        <w:rPr>
          <w:rFonts w:ascii="Arial" w:hAnsi="Arial" w:cs="Arial"/>
          <w:bCs/>
          <w:spacing w:val="-3"/>
          <w:sz w:val="22"/>
          <w:szCs w:val="22"/>
        </w:rPr>
        <w:t xml:space="preserve">the national seafood standard. </w:t>
      </w:r>
      <w:r w:rsidR="00CB19D8" w:rsidRPr="0001150F">
        <w:rPr>
          <w:rFonts w:ascii="Arial" w:hAnsi="Arial" w:cs="Arial"/>
          <w:bCs/>
          <w:spacing w:val="-3"/>
          <w:sz w:val="22"/>
          <w:szCs w:val="22"/>
        </w:rPr>
        <w:t>There is general stakeholder support for the scheme.</w:t>
      </w:r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FC7B40" w:rsidRPr="0001150F" w:rsidRDefault="00FC7B40" w:rsidP="007F2149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B2C9A">
        <w:rPr>
          <w:rFonts w:ascii="Arial" w:hAnsi="Arial" w:cs="Arial"/>
          <w:bCs/>
          <w:spacing w:val="-3"/>
          <w:sz w:val="22"/>
          <w:szCs w:val="22"/>
        </w:rPr>
        <w:t xml:space="preserve">seafood </w:t>
      </w:r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scheme </w:t>
      </w:r>
      <w:r w:rsidR="0089001D">
        <w:rPr>
          <w:rFonts w:ascii="Arial" w:hAnsi="Arial" w:cs="Arial"/>
          <w:bCs/>
          <w:spacing w:val="-3"/>
          <w:sz w:val="22"/>
          <w:szCs w:val="22"/>
        </w:rPr>
        <w:t xml:space="preserve">will help </w:t>
      </w:r>
      <w:r w:rsidR="0077084B">
        <w:rPr>
          <w:rFonts w:ascii="Arial" w:hAnsi="Arial" w:cs="Arial"/>
          <w:bCs/>
          <w:spacing w:val="-3"/>
          <w:sz w:val="22"/>
          <w:szCs w:val="22"/>
        </w:rPr>
        <w:t>to</w:t>
      </w:r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 maintain and enhance </w:t>
      </w:r>
      <w:r w:rsidR="00EE73A0" w:rsidRPr="0001150F">
        <w:rPr>
          <w:rFonts w:ascii="Arial" w:hAnsi="Arial" w:cs="Arial"/>
          <w:bCs/>
          <w:spacing w:val="-3"/>
          <w:sz w:val="22"/>
          <w:szCs w:val="22"/>
        </w:rPr>
        <w:t xml:space="preserve">consumer </w:t>
      </w:r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confidence that </w:t>
      </w:r>
      <w:smartTag w:uri="urn:schemas-microsoft-com:office:smarttags" w:element="State">
        <w:smartTag w:uri="urn:schemas-microsoft-com:office:smarttags" w:element="place">
          <w:r w:rsidRPr="0001150F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1150F">
        <w:rPr>
          <w:rFonts w:ascii="Arial" w:hAnsi="Arial" w:cs="Arial"/>
          <w:bCs/>
          <w:spacing w:val="-3"/>
          <w:sz w:val="22"/>
          <w:szCs w:val="22"/>
        </w:rPr>
        <w:t xml:space="preserve"> seafood is produced under safe conditions through a regulated assurance scheme.</w:t>
      </w:r>
    </w:p>
    <w:p w:rsidR="00FC7B40" w:rsidRPr="00712C35" w:rsidRDefault="007C1496" w:rsidP="007F2149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Certain s</w:t>
      </w:r>
      <w:r w:rsidR="00FC7B40" w:rsidRPr="00712C35">
        <w:rPr>
          <w:rFonts w:ascii="Arial" w:hAnsi="Arial" w:cs="Arial"/>
          <w:bCs/>
          <w:spacing w:val="-3"/>
          <w:sz w:val="22"/>
          <w:szCs w:val="22"/>
        </w:rPr>
        <w:t xml:space="preserve">cheme provisions such as those requiring </w:t>
      </w:r>
      <w:r w:rsidR="003B5E9E" w:rsidRPr="00712C35">
        <w:rPr>
          <w:rFonts w:ascii="Arial" w:hAnsi="Arial" w:cs="Arial"/>
          <w:bCs/>
          <w:spacing w:val="-3"/>
          <w:sz w:val="22"/>
          <w:szCs w:val="22"/>
        </w:rPr>
        <w:t xml:space="preserve">seafood </w:t>
      </w:r>
      <w:r w:rsidR="00FC7B40" w:rsidRPr="00712C35">
        <w:rPr>
          <w:rFonts w:ascii="Arial" w:hAnsi="Arial" w:cs="Arial"/>
          <w:bCs/>
          <w:spacing w:val="-3"/>
          <w:sz w:val="22"/>
          <w:szCs w:val="22"/>
        </w:rPr>
        <w:t xml:space="preserve">businesses to be on a Register maintained by SFPQ </w:t>
      </w:r>
      <w:r w:rsidR="003B5E9E" w:rsidRPr="00712C35">
        <w:rPr>
          <w:rFonts w:ascii="Arial" w:hAnsi="Arial" w:cs="Arial"/>
          <w:bCs/>
          <w:spacing w:val="-3"/>
          <w:sz w:val="22"/>
          <w:szCs w:val="22"/>
        </w:rPr>
        <w:t xml:space="preserve">will </w:t>
      </w:r>
      <w:r w:rsidR="00FC7B40" w:rsidRPr="00712C35">
        <w:rPr>
          <w:rFonts w:ascii="Arial" w:hAnsi="Arial" w:cs="Arial"/>
          <w:bCs/>
          <w:spacing w:val="-3"/>
          <w:sz w:val="22"/>
          <w:szCs w:val="22"/>
        </w:rPr>
        <w:t xml:space="preserve">commence on 1 July 2009.  However, requirements for </w:t>
      </w:r>
      <w:r w:rsidR="003B5E9E" w:rsidRPr="00712C35">
        <w:rPr>
          <w:rFonts w:ascii="Arial" w:hAnsi="Arial" w:cs="Arial"/>
          <w:bCs/>
          <w:spacing w:val="-3"/>
          <w:sz w:val="22"/>
          <w:szCs w:val="22"/>
        </w:rPr>
        <w:t>businesses to obtain accreditation and pay associated</w:t>
      </w:r>
      <w:r w:rsidR="00FC7B40" w:rsidRPr="00712C35">
        <w:rPr>
          <w:rFonts w:ascii="Arial" w:hAnsi="Arial" w:cs="Arial"/>
          <w:bCs/>
          <w:spacing w:val="-3"/>
          <w:sz w:val="22"/>
          <w:szCs w:val="22"/>
        </w:rPr>
        <w:t xml:space="preserve"> fees </w:t>
      </w:r>
      <w:r w:rsidR="003B5E9E" w:rsidRPr="00712C35">
        <w:rPr>
          <w:rFonts w:ascii="Arial" w:hAnsi="Arial" w:cs="Arial"/>
          <w:bCs/>
          <w:spacing w:val="-3"/>
          <w:sz w:val="22"/>
          <w:szCs w:val="22"/>
        </w:rPr>
        <w:t>will</w:t>
      </w:r>
      <w:r w:rsidR="00FC7B40" w:rsidRPr="00712C35">
        <w:rPr>
          <w:rFonts w:ascii="Arial" w:hAnsi="Arial" w:cs="Arial"/>
          <w:bCs/>
          <w:spacing w:val="-3"/>
          <w:sz w:val="22"/>
          <w:szCs w:val="22"/>
        </w:rPr>
        <w:t xml:space="preserve"> not commence until 1 January 2010</w:t>
      </w:r>
      <w:r w:rsidR="00EE73A0" w:rsidRPr="00712C35">
        <w:rPr>
          <w:rFonts w:ascii="Arial" w:hAnsi="Arial" w:cs="Arial"/>
          <w:bCs/>
          <w:spacing w:val="-3"/>
          <w:sz w:val="22"/>
          <w:szCs w:val="22"/>
        </w:rPr>
        <w:t xml:space="preserve">.  This will allow </w:t>
      </w:r>
      <w:r w:rsidR="003B5E9E" w:rsidRPr="00712C35">
        <w:rPr>
          <w:rFonts w:ascii="Arial" w:hAnsi="Arial" w:cs="Arial"/>
          <w:bCs/>
          <w:spacing w:val="-3"/>
          <w:sz w:val="22"/>
          <w:szCs w:val="22"/>
        </w:rPr>
        <w:t>time for the industry to become familiar with the Scheme requirements and to plan for compliance with its provisions</w:t>
      </w:r>
      <w:r w:rsidR="00FC7B40" w:rsidRPr="00712C35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7084B" w:rsidRDefault="0077084B" w:rsidP="007F2149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12C35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712C35"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Pr="00712C35">
        <w:rPr>
          <w:rFonts w:ascii="Arial" w:hAnsi="Arial" w:cs="Arial"/>
          <w:bCs/>
          <w:i/>
          <w:spacing w:val="-3"/>
          <w:sz w:val="22"/>
          <w:szCs w:val="22"/>
        </w:rPr>
        <w:t>Primary Industries and Fishe</w:t>
      </w:r>
      <w:r w:rsidR="0089001D" w:rsidRPr="00712C35">
        <w:rPr>
          <w:rFonts w:ascii="Arial" w:hAnsi="Arial" w:cs="Arial"/>
          <w:bCs/>
          <w:i/>
          <w:spacing w:val="-3"/>
          <w:sz w:val="22"/>
          <w:szCs w:val="22"/>
        </w:rPr>
        <w:t xml:space="preserve">ries </w:t>
      </w:r>
      <w:r w:rsidR="00F128A7">
        <w:rPr>
          <w:rFonts w:ascii="Arial" w:hAnsi="Arial" w:cs="Arial"/>
          <w:bCs/>
          <w:i/>
          <w:spacing w:val="-3"/>
          <w:sz w:val="22"/>
          <w:szCs w:val="22"/>
        </w:rPr>
        <w:t xml:space="preserve">Legislation </w:t>
      </w:r>
      <w:r w:rsidR="0089001D" w:rsidRPr="00712C35">
        <w:rPr>
          <w:rFonts w:ascii="Arial" w:hAnsi="Arial" w:cs="Arial"/>
          <w:bCs/>
          <w:i/>
          <w:spacing w:val="-3"/>
          <w:sz w:val="22"/>
          <w:szCs w:val="22"/>
        </w:rPr>
        <w:t>Amendment Regulation (No. 1)</w:t>
      </w:r>
      <w:r w:rsidRPr="00712C35">
        <w:rPr>
          <w:rFonts w:ascii="Arial" w:hAnsi="Arial" w:cs="Arial"/>
          <w:bCs/>
          <w:i/>
          <w:spacing w:val="-3"/>
          <w:sz w:val="22"/>
          <w:szCs w:val="22"/>
        </w:rPr>
        <w:t xml:space="preserve"> 2009</w:t>
      </w:r>
      <w:r w:rsidRPr="00712C35">
        <w:rPr>
          <w:rFonts w:ascii="Arial" w:hAnsi="Arial" w:cs="Arial"/>
          <w:bCs/>
          <w:spacing w:val="-3"/>
          <w:sz w:val="22"/>
          <w:szCs w:val="22"/>
        </w:rPr>
        <w:t xml:space="preserve"> be recommended to the Governor in C</w:t>
      </w:r>
      <w:r>
        <w:rPr>
          <w:rFonts w:ascii="Arial" w:hAnsi="Arial" w:cs="Arial"/>
          <w:bCs/>
          <w:spacing w:val="-3"/>
          <w:sz w:val="22"/>
          <w:szCs w:val="22"/>
        </w:rPr>
        <w:t>ouncil for approval.</w:t>
      </w:r>
    </w:p>
    <w:p w:rsidR="0077084B" w:rsidRPr="0001150F" w:rsidRDefault="0077084B" w:rsidP="007F2149">
      <w:pPr>
        <w:numPr>
          <w:ilvl w:val="0"/>
          <w:numId w:val="6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9001D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the </w:t>
      </w:r>
      <w:r w:rsidRPr="00520C15">
        <w:rPr>
          <w:rFonts w:ascii="Arial" w:hAnsi="Arial" w:cs="Arial"/>
          <w:bCs/>
          <w:i/>
          <w:spacing w:val="-3"/>
          <w:sz w:val="22"/>
          <w:szCs w:val="22"/>
        </w:rPr>
        <w:t>Primary Industries and Fishe</w:t>
      </w:r>
      <w:r w:rsidR="0089001D" w:rsidRPr="00520C15">
        <w:rPr>
          <w:rFonts w:ascii="Arial" w:hAnsi="Arial" w:cs="Arial"/>
          <w:bCs/>
          <w:i/>
          <w:spacing w:val="-3"/>
          <w:sz w:val="22"/>
          <w:szCs w:val="22"/>
        </w:rPr>
        <w:t>ries Amendment Regulation (No. 1</w:t>
      </w:r>
      <w:r w:rsidRPr="00520C15">
        <w:rPr>
          <w:rFonts w:ascii="Arial" w:hAnsi="Arial" w:cs="Arial"/>
          <w:bCs/>
          <w:i/>
          <w:spacing w:val="-3"/>
          <w:sz w:val="22"/>
          <w:szCs w:val="22"/>
        </w:rPr>
        <w:t xml:space="preserve">) 2009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will be laid before the </w:t>
      </w:r>
      <w:r w:rsidR="0089001D">
        <w:rPr>
          <w:rFonts w:ascii="Arial" w:hAnsi="Arial" w:cs="Arial"/>
          <w:bCs/>
          <w:spacing w:val="-3"/>
          <w:sz w:val="22"/>
          <w:szCs w:val="22"/>
        </w:rPr>
        <w:t xml:space="preserve">Legislative Assembly </w:t>
      </w:r>
      <w:r>
        <w:rPr>
          <w:rFonts w:ascii="Arial" w:hAnsi="Arial" w:cs="Arial"/>
          <w:bCs/>
          <w:spacing w:val="-3"/>
          <w:sz w:val="22"/>
          <w:szCs w:val="22"/>
        </w:rPr>
        <w:t>within 14 sitting days after publication in the Government Gazette</w:t>
      </w:r>
      <w:r w:rsidR="0089001D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FC7B40" w:rsidRPr="00520C15" w:rsidRDefault="00FC7B40" w:rsidP="001D06E6">
      <w:pPr>
        <w:numPr>
          <w:ilvl w:val="0"/>
          <w:numId w:val="6"/>
        </w:numPr>
        <w:tabs>
          <w:tab w:val="num" w:pos="360"/>
        </w:tabs>
        <w:spacing w:before="360"/>
        <w:ind w:left="360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520C15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FC7B40" w:rsidRPr="001D06E6" w:rsidRDefault="009657FA" w:rsidP="001D06E6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7" w:history="1">
        <w:r w:rsidR="0089001D" w:rsidRPr="001D06E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Primary Industries and Fisheries </w:t>
        </w:r>
        <w:r w:rsidR="00F128A7" w:rsidRPr="001D06E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Legislation </w:t>
        </w:r>
        <w:r w:rsidR="0089001D" w:rsidRPr="001D06E6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Amendment Regulation (No. 1) 2009</w:t>
        </w:r>
      </w:hyperlink>
    </w:p>
    <w:p w:rsidR="0089001D" w:rsidRPr="001D06E6" w:rsidRDefault="009657FA" w:rsidP="001D06E6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89001D" w:rsidRPr="001D06E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p w:rsidR="000B545C" w:rsidRPr="001D06E6" w:rsidRDefault="009657FA" w:rsidP="001D06E6">
      <w:pPr>
        <w:numPr>
          <w:ilvl w:val="0"/>
          <w:numId w:val="12"/>
        </w:numPr>
        <w:spacing w:before="120"/>
        <w:ind w:left="709" w:hanging="283"/>
        <w:jc w:val="both"/>
        <w:rPr>
          <w:rFonts w:ascii="Arial" w:hAnsi="Arial" w:cs="Arial"/>
          <w:sz w:val="22"/>
          <w:szCs w:val="22"/>
        </w:rPr>
      </w:pPr>
      <w:hyperlink r:id="rId9" w:history="1">
        <w:r w:rsidR="0089001D" w:rsidRPr="001D06E6">
          <w:rPr>
            <w:rStyle w:val="Hyperlink"/>
            <w:rFonts w:ascii="Arial" w:hAnsi="Arial" w:cs="Arial"/>
            <w:sz w:val="22"/>
            <w:szCs w:val="22"/>
          </w:rPr>
          <w:t>Regulatory Impact Statement</w:t>
        </w:r>
      </w:hyperlink>
    </w:p>
    <w:sectPr w:rsidR="000B545C" w:rsidRPr="001D06E6" w:rsidSect="0089001D">
      <w:headerReference w:type="default" r:id="rId10"/>
      <w:footerReference w:type="default" r:id="rId11"/>
      <w:pgSz w:w="11907" w:h="16840" w:code="9"/>
      <w:pgMar w:top="1985" w:right="1304" w:bottom="907" w:left="1418" w:header="902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553" w:rsidRDefault="00CD4553">
      <w:r>
        <w:separator/>
      </w:r>
    </w:p>
  </w:endnote>
  <w:endnote w:type="continuationSeparator" w:id="0">
    <w:p w:rsidR="00CD4553" w:rsidRDefault="00CD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FF" w:rsidRPr="001141E1" w:rsidRDefault="00C911FF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553" w:rsidRDefault="00CD4553">
      <w:r>
        <w:separator/>
      </w:r>
    </w:p>
  </w:footnote>
  <w:footnote w:type="continuationSeparator" w:id="0">
    <w:p w:rsidR="00CD4553" w:rsidRDefault="00CD4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FF" w:rsidRDefault="00234B0E" w:rsidP="007D3B9D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11FF">
      <w:rPr>
        <w:rFonts w:ascii="Arial" w:hAnsi="Arial" w:cs="Arial"/>
        <w:b/>
        <w:sz w:val="22"/>
        <w:szCs w:val="22"/>
        <w:u w:val="single"/>
      </w:rPr>
      <w:t>Cabinet – February 2009</w:t>
    </w:r>
  </w:p>
  <w:p w:rsidR="00C911FF" w:rsidRPr="003B5E9E" w:rsidRDefault="00C911FF" w:rsidP="007D3B9D">
    <w:pPr>
      <w:pStyle w:val="Header"/>
      <w:ind w:firstLine="2880"/>
      <w:rPr>
        <w:rFonts w:ascii="Arial" w:hAnsi="Arial" w:cs="Arial"/>
        <w:b/>
        <w:sz w:val="22"/>
        <w:szCs w:val="22"/>
      </w:rPr>
    </w:pPr>
  </w:p>
  <w:p w:rsidR="00C911FF" w:rsidRDefault="00C911F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Seafood Food Safety Scheme</w:t>
    </w:r>
  </w:p>
  <w:p w:rsidR="00C911FF" w:rsidRDefault="00C911FF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Primary Industries and Fisheries</w:t>
    </w:r>
  </w:p>
  <w:p w:rsidR="00C911FF" w:rsidRPr="00F10DF9" w:rsidRDefault="00C911FF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2FE"/>
    <w:multiLevelType w:val="hybridMultilevel"/>
    <w:tmpl w:val="CF6AC7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8298"/>
        </w:tabs>
        <w:ind w:left="8298" w:hanging="360"/>
      </w:pPr>
    </w:lvl>
    <w:lvl w:ilvl="1" w:tplc="8F02EAEE">
      <w:start w:val="1"/>
      <w:numFmt w:val="decimal"/>
      <w:lvlText w:val="%2."/>
      <w:lvlJc w:val="left"/>
      <w:pPr>
        <w:tabs>
          <w:tab w:val="num" w:pos="9021"/>
        </w:tabs>
        <w:ind w:left="9021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9738"/>
        </w:tabs>
        <w:ind w:left="97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458"/>
        </w:tabs>
        <w:ind w:left="104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178"/>
        </w:tabs>
        <w:ind w:left="111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898"/>
        </w:tabs>
        <w:ind w:left="118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18"/>
        </w:tabs>
        <w:ind w:left="126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338"/>
        </w:tabs>
        <w:ind w:left="133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058"/>
        </w:tabs>
        <w:ind w:left="14058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8A"/>
    <w:rsid w:val="0001150F"/>
    <w:rsid w:val="00021B34"/>
    <w:rsid w:val="000400F9"/>
    <w:rsid w:val="0005085E"/>
    <w:rsid w:val="00051D17"/>
    <w:rsid w:val="00085454"/>
    <w:rsid w:val="000B545C"/>
    <w:rsid w:val="001141E1"/>
    <w:rsid w:val="00126AFE"/>
    <w:rsid w:val="00133013"/>
    <w:rsid w:val="00133A34"/>
    <w:rsid w:val="0014166B"/>
    <w:rsid w:val="001500DB"/>
    <w:rsid w:val="00160524"/>
    <w:rsid w:val="001B5B8A"/>
    <w:rsid w:val="001D06E6"/>
    <w:rsid w:val="0022775A"/>
    <w:rsid w:val="00234B0E"/>
    <w:rsid w:val="00254E35"/>
    <w:rsid w:val="0028053C"/>
    <w:rsid w:val="002F23CC"/>
    <w:rsid w:val="002F57E4"/>
    <w:rsid w:val="003141CC"/>
    <w:rsid w:val="00314FEB"/>
    <w:rsid w:val="0032048B"/>
    <w:rsid w:val="00346156"/>
    <w:rsid w:val="003508FA"/>
    <w:rsid w:val="00382380"/>
    <w:rsid w:val="003A0922"/>
    <w:rsid w:val="003A269C"/>
    <w:rsid w:val="003A2E0F"/>
    <w:rsid w:val="003B588D"/>
    <w:rsid w:val="003B5E9E"/>
    <w:rsid w:val="003C1481"/>
    <w:rsid w:val="003C3732"/>
    <w:rsid w:val="003E02C5"/>
    <w:rsid w:val="003F6954"/>
    <w:rsid w:val="00435BE5"/>
    <w:rsid w:val="00474532"/>
    <w:rsid w:val="0048019C"/>
    <w:rsid w:val="00484A63"/>
    <w:rsid w:val="00486A99"/>
    <w:rsid w:val="004E6C38"/>
    <w:rsid w:val="00520C15"/>
    <w:rsid w:val="00532669"/>
    <w:rsid w:val="005352BA"/>
    <w:rsid w:val="005507B8"/>
    <w:rsid w:val="00562AE4"/>
    <w:rsid w:val="0056401D"/>
    <w:rsid w:val="0058623E"/>
    <w:rsid w:val="00587BC9"/>
    <w:rsid w:val="00595276"/>
    <w:rsid w:val="005A00EB"/>
    <w:rsid w:val="005B1D9B"/>
    <w:rsid w:val="005B64B6"/>
    <w:rsid w:val="005C224F"/>
    <w:rsid w:val="005F131E"/>
    <w:rsid w:val="005F6829"/>
    <w:rsid w:val="006100CC"/>
    <w:rsid w:val="00644076"/>
    <w:rsid w:val="006631CF"/>
    <w:rsid w:val="00677BF3"/>
    <w:rsid w:val="00682036"/>
    <w:rsid w:val="00683E4D"/>
    <w:rsid w:val="006B3B54"/>
    <w:rsid w:val="006D0869"/>
    <w:rsid w:val="006E6713"/>
    <w:rsid w:val="007004DC"/>
    <w:rsid w:val="007060D7"/>
    <w:rsid w:val="00710AAE"/>
    <w:rsid w:val="00712C35"/>
    <w:rsid w:val="00726F36"/>
    <w:rsid w:val="00733767"/>
    <w:rsid w:val="007600FE"/>
    <w:rsid w:val="0077084B"/>
    <w:rsid w:val="00796B3E"/>
    <w:rsid w:val="007A25F4"/>
    <w:rsid w:val="007A6599"/>
    <w:rsid w:val="007C1496"/>
    <w:rsid w:val="007D3B9D"/>
    <w:rsid w:val="007F2149"/>
    <w:rsid w:val="007F52D6"/>
    <w:rsid w:val="007F583C"/>
    <w:rsid w:val="0082040E"/>
    <w:rsid w:val="00845D3E"/>
    <w:rsid w:val="008525DA"/>
    <w:rsid w:val="0089001D"/>
    <w:rsid w:val="008A4AFE"/>
    <w:rsid w:val="008A5F1B"/>
    <w:rsid w:val="008B7E17"/>
    <w:rsid w:val="008C3732"/>
    <w:rsid w:val="008F44CD"/>
    <w:rsid w:val="00922A5B"/>
    <w:rsid w:val="009657FA"/>
    <w:rsid w:val="009D0C12"/>
    <w:rsid w:val="009D5A2C"/>
    <w:rsid w:val="009F5476"/>
    <w:rsid w:val="00A20C0E"/>
    <w:rsid w:val="00A30F55"/>
    <w:rsid w:val="00A354FF"/>
    <w:rsid w:val="00A4403C"/>
    <w:rsid w:val="00A47BDB"/>
    <w:rsid w:val="00A527A5"/>
    <w:rsid w:val="00A75D12"/>
    <w:rsid w:val="00A95953"/>
    <w:rsid w:val="00AA128C"/>
    <w:rsid w:val="00AB6637"/>
    <w:rsid w:val="00AE1995"/>
    <w:rsid w:val="00B32F3B"/>
    <w:rsid w:val="00B40BDF"/>
    <w:rsid w:val="00B74E4E"/>
    <w:rsid w:val="00B82594"/>
    <w:rsid w:val="00B84F55"/>
    <w:rsid w:val="00BB2C9A"/>
    <w:rsid w:val="00C07656"/>
    <w:rsid w:val="00C33036"/>
    <w:rsid w:val="00C4463D"/>
    <w:rsid w:val="00C805EC"/>
    <w:rsid w:val="00C85B71"/>
    <w:rsid w:val="00C911FF"/>
    <w:rsid w:val="00CB0350"/>
    <w:rsid w:val="00CB19D8"/>
    <w:rsid w:val="00CD4553"/>
    <w:rsid w:val="00CE6FBA"/>
    <w:rsid w:val="00D54601"/>
    <w:rsid w:val="00D7334C"/>
    <w:rsid w:val="00DD3CD5"/>
    <w:rsid w:val="00DD497C"/>
    <w:rsid w:val="00DF4650"/>
    <w:rsid w:val="00E40E2E"/>
    <w:rsid w:val="00E43BE5"/>
    <w:rsid w:val="00E463C2"/>
    <w:rsid w:val="00EA00BF"/>
    <w:rsid w:val="00EE73A0"/>
    <w:rsid w:val="00F10DF9"/>
    <w:rsid w:val="00F128A7"/>
    <w:rsid w:val="00F163EA"/>
    <w:rsid w:val="00F451B4"/>
    <w:rsid w:val="00F756F8"/>
    <w:rsid w:val="00FA311C"/>
    <w:rsid w:val="00FB54A6"/>
    <w:rsid w:val="00FC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Style1">
    <w:name w:val="Style1"/>
    <w:basedOn w:val="Header"/>
    <w:link w:val="Style1Char"/>
    <w:qFormat/>
    <w:rsid w:val="007F2149"/>
    <w:pPr>
      <w:tabs>
        <w:tab w:val="clear" w:pos="4153"/>
        <w:tab w:val="clear" w:pos="8306"/>
        <w:tab w:val="left" w:pos="0"/>
        <w:tab w:val="left" w:pos="566"/>
        <w:tab w:val="left" w:pos="1133"/>
        <w:tab w:val="left" w:pos="1699"/>
        <w:tab w:val="left" w:pos="2265"/>
        <w:tab w:val="left" w:pos="2832"/>
        <w:tab w:val="left" w:pos="3398"/>
        <w:tab w:val="left" w:pos="3965"/>
        <w:tab w:val="left" w:pos="4531"/>
        <w:tab w:val="left" w:pos="5097"/>
        <w:tab w:val="left" w:pos="5664"/>
        <w:tab w:val="left" w:pos="6230"/>
        <w:tab w:val="left" w:pos="6797"/>
        <w:tab w:val="left" w:pos="7363"/>
        <w:tab w:val="left" w:pos="7929"/>
        <w:tab w:val="left" w:pos="8496"/>
        <w:tab w:val="left" w:pos="9062"/>
      </w:tabs>
      <w:suppressAutoHyphens/>
      <w:jc w:val="both"/>
    </w:pPr>
    <w:rPr>
      <w:spacing w:val="-3"/>
      <w:szCs w:val="20"/>
      <w:lang w:eastAsia="en-US"/>
    </w:rPr>
  </w:style>
  <w:style w:type="character" w:customStyle="1" w:styleId="Style1Char">
    <w:name w:val="Style1 Char"/>
    <w:basedOn w:val="BodyTextChar"/>
    <w:link w:val="Style1"/>
    <w:rsid w:val="007F2149"/>
    <w:rPr>
      <w:spacing w:val="-3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F21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2149"/>
    <w:rPr>
      <w:sz w:val="24"/>
      <w:szCs w:val="24"/>
    </w:rPr>
  </w:style>
  <w:style w:type="character" w:styleId="CommentReference">
    <w:name w:val="annotation reference"/>
    <w:basedOn w:val="DefaultParagraphFont"/>
    <w:semiHidden/>
    <w:rsid w:val="00EE73A0"/>
    <w:rPr>
      <w:sz w:val="16"/>
      <w:szCs w:val="16"/>
    </w:rPr>
  </w:style>
  <w:style w:type="paragraph" w:styleId="CommentText">
    <w:name w:val="annotation text"/>
    <w:basedOn w:val="Normal"/>
    <w:semiHidden/>
    <w:rsid w:val="00EE73A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E73A0"/>
    <w:rPr>
      <w:b/>
      <w:bCs/>
    </w:rPr>
  </w:style>
  <w:style w:type="character" w:styleId="Hyperlink">
    <w:name w:val="Hyperlink"/>
    <w:basedOn w:val="DefaultParagraphFont"/>
    <w:rsid w:val="00FA311C"/>
    <w:rPr>
      <w:color w:val="0000FF"/>
      <w:u w:val="single"/>
    </w:rPr>
  </w:style>
  <w:style w:type="character" w:styleId="FollowedHyperlink">
    <w:name w:val="FollowedHyperlink"/>
    <w:basedOn w:val="DefaultParagraphFont"/>
    <w:rsid w:val="005352BA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Primary%20Inds%20and%20Fisheries%20Ex%20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Primary%20Inds%20and%20Fisheries%20Reg%20No.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Primary%20Inds%20and%20Fisheries%20RI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olicy\Food%20Safety%20Schemes\Food%20Safety%20Schemes%20Under%20Development\Seafood%20FSS\Food%20Safety%20Scheme%20Seafood\Draft%20Cab%20subs\ATF%20(Mark%202)\Attachments\Attachment%208%20-%206Janauray%202009%20(Submission-decision%20summary)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8 - 6Janauray 2009 (Submission-decision summary)(1).dot</Template>
  <TotalTime>0</TotalTime>
  <Pages>1</Pages>
  <Words>333</Words>
  <Characters>1897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2228</CharactersWithSpaces>
  <SharedDoc>false</SharedDoc>
  <HyperlinkBase>https://www.cabinet.qld.gov.au/documents/2009/Feb/Seafood Safety Scheme/</HyperlinkBase>
  <HLinks>
    <vt:vector size="18" baseType="variant">
      <vt:variant>
        <vt:i4>4718623</vt:i4>
      </vt:variant>
      <vt:variant>
        <vt:i4>6</vt:i4>
      </vt:variant>
      <vt:variant>
        <vt:i4>0</vt:i4>
      </vt:variant>
      <vt:variant>
        <vt:i4>5</vt:i4>
      </vt:variant>
      <vt:variant>
        <vt:lpwstr>Attachments/Primary Inds &amp; Fisheries RIS.pdf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Attachments/Primary Inds &amp; Fisheries Ex Notes.pdf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Attachments/Primary Inds &amp; Fisheries Reg No.1.pdf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seafood</cp:keywords>
  <dc:description/>
  <cp:lastModifiedBy/>
  <cp:revision>2</cp:revision>
  <cp:lastPrinted>2009-04-17T07:59:00Z</cp:lastPrinted>
  <dcterms:created xsi:type="dcterms:W3CDTF">2017-10-24T22:00:00Z</dcterms:created>
  <dcterms:modified xsi:type="dcterms:W3CDTF">2018-03-06T00:56:00Z</dcterms:modified>
  <cp:category>fisheries,Primary_Industries</cp:category>
</cp:coreProperties>
</file>